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Мехатроника и робототехника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робототехнические и мехатронные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вариативной части блока ГСЭЦ (Б1): «Культурология», «Социология», «Психология», «Политология», «Логистика», «Маркетинг инноваций», «Основы деловой этики и корпоративной культуры», «Правовое обеспечение бизнеса в отрасли», «Правовое регулирование и охрана результатов интеллектуальной деятельности». Каждая из выбранных дисциплин оценивается в 2 кредита.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Перечень дисциплин по выбору в вариативной части блока Факультативных дисциплин (БФ): «Военная подготовка» (10 кредитов), «Русский язык и культура речи» (2 кредита),  «Второй иностранный язык (немецкий, французский)» (10 кредитов), «Введение в теорию и практику толерантности» (2 кредита), Основы ресурсоэффективности» (2 кредита), «Деловая коммуникация» (2 кредита), «Инженерное предпринимательство» (2 кредита).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По дисциплинам по выбору студента блоков ГСЭЦ и БФ предусмотрено только чтение лекций, они являются односеместровыми и могут изучаться в межфакультетских потоках. Студент имеет право выбрать одну из них только один раз за весь период обучения. 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Второй иностранный язык могут выбрать студенты, которых планируется направить за границу для обучения по академическому обмену.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Мехатроника и робототехника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робототехнические и мехатронные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