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Мехатроника и робототехника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вариативной части блока ГСЭЦ (Б1): «Культурология», «Социология», «Психология», «Политология», «Логистика», «Маркетинг инноваций», «Основы деловой этики и корпоративной культуры», «Правовое обеспечение бизнеса в отрасли», «Правовое регулирование и охрана результатов интеллектуальной деятельности». Каждая из выбранных дисциплин оценивается в 2 кредита.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Перечень дисциплин по выбору в вариативной части блока Факультативных дисциплин (БФ): «Военная подготовка» (10 кредитов), «Русский язык и культура речи» (2 кредита),  «Второй иностранный язык (немецкий, французский)» (10 кредитов), «Введение в теорию и практику толерантности» (2 кредита), Основы ресурсоэффективности» (2 кредита), «Деловая коммуникация» (2 кредита), «Инженерное предпринимательство» (2 кредита).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По дисциплинам по выбору студента блоков ГСЭЦ и БФ предусмотрено только чтение лекций, они являются односеместровыми и могут изучаться в межфакультетских потоках. Студент имеет право выбрать одну из них только один раз за весь период обучения. 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Второй иностранный язык могут выбрать студенты, которых планируется направить за границу для обучения по академическому обмену.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Мехатроника и робототехника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