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 (З)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2Г21-З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Дисциплины/практики, полностью отмеченные цветом, реализуются с применением смешанных технологий, в т.ч. расписание занятий на ЛК/ПР/ЛБ и все формы промежуточной аттестации формируется в течение срока теоретического обучения учебного семестра;  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Дисциплины/практики, частично отмеченные цветом, реализуются с применением смешанных технологий, в т.ч. расписание на все виды занятий и все формы промежуточной аттестации, отмеченные цветом, формируется в рамках лабораторно-экзаменационной сессии; </w:t>
              <w:br/>
              <w:t xml:space="preserve">расписание прочих занятий формируется в течение теоретического обучения учебного семестра; </w:t>
              <w:br/>
              <w:t xml:space="preserve">на период лабораторно-экзаменационной сессии по запросу обучающихся оформляются справки-вызовы в соответствии с действующим ТК РФ.</w:t>
              <w:br/>
              <w:t xml:space="preserve"/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