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APPROVED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THE MINISTRY OF EDUCATION AND SCIENCE OF THE RUSSIAN FEDERATION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Vice Rector for Academic Affairs of Not available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Federal state autonomous educational institution of higher education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M.A.Solovyov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National Research Tomsk Polytechnic University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"______"__________20_____г.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GRAPH OF EDUCATIONAL PROCESS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Admittance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year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Major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13.04.01 Heat Power and Heating Engineering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Educational Programme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Digital Thermal Power in Oil and Gas Industry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Specialization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Digital Thermal Power in Oil and Gas Industry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Groups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5BM45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Qualification (degree)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Master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Mode of study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Intramural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Duration of study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year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Department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School of Energy and Power Engineering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Butakov Research Center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BASIC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GRAPH OF EDUCATIONAL PROCESS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Years/Weeks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^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^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Symbols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Theoretical Training and Practice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~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Conference Week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Examination Period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Practical Training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On-the Job Training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X*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Pre-graduation Practical Training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Final State Certification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Vacation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^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Non-working holidays (not including Sundays)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Not Applicable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Correspondence of Weeks to Dates by Years of Study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Academic Year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Month with a Week Number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september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october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november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december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january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february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march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april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may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june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july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august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Beginning of a Week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End of a Week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Beginning of a Week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End of a Week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NOTES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Academic Year Start Date marked as "*"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Academic  Weeks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In case of necessity, in agreement with the Vice-Rector for Academic Affairs, the Standart Academic Calendar can be changed without violating the requirements of regulations for the formation of Academic Calendar for a Specific Academic Year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Head of Division for Learning and Teaching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A.M.Kuzmin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Director of School of Energy and Power Engineering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A.S.Matveev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Head of Department/Research and Education Center of Butakov Research Center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A.S.Matveev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