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APPROVED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THE MINISTRY OF EDUCATION AND SCIENCE OF THE RUSSIAN FEDERATION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Vice Rector for Academic Affairs of Not available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Federal state autonomous educational institution of higher education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M.A.Solovyov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National Research Tomsk Polytechnic University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"______"__________20_____г.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GRAPH OF EDUCATIONAL PROCESS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Admittance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year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Major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Electric Power Engineering and Electrical Engineering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Educational Programme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комплексы и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Specialization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технология производства электромеханических преобразователей энергии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Groups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5AM56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Qualification (degree)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Master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Mode of study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Intramural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Duration of study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year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Department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School of Energy and Power Engineering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Division for Power and Electrical Engineering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BASIC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GRAPH OF EDUCATIONAL PROCESS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Years/Weeks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Symbols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Theoretical Training and Practice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~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Conference Week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Examination Period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On-the Job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X*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Pre-graduation 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Final State Certification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Vacation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^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Non-working holidays (not including Sundays)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Correspondence of Weeks to Dates by Years of Study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Academic Year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Month with a Week Number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september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october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november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december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january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february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march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april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june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july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august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NOTES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Academic Year Start Date marked as "*"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Academic  Weeks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In case of necessity, in agreement with the Vice-Rector for Academic Affairs, the Standart Academic Calendar can be changed without violating the requirements of regulations for the formation of Academic Calendar for a Specific Academic Year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Division for Learning and Teaching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A.M.Kuzmin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Director of School of Energy and Power Engineering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A.S.Matveev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Department/Division of Division for Power and Electrical Engineering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A.S.Saygash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