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APPROVED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THE MINISTRY OF EDUCATION AND SCIENCE OF THE RUSSIAN FEDERATION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Vice Rector for Academic Affairs of Not available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Federal state autonomous educational institution of higher education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M.A.Solovyov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National Research Tomsk Polytechnic University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"______"__________20_____г.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GRAPH OF EDUCATIONAL PROCESS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Admittance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year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Major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Chemical Technology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Educational Programme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Technology Engineering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Specialization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Processes and Equipment for Processing Mineral and Man-Made Raw Materials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Groups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4GM52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Qualification (degree)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Master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Mode of study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Intramural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Duration of study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year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Department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School of Advanced Manufacturing Technologies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Kizhner Research Center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BASIC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GRAPH OF EDUCATIONAL PROCESS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Years/Weeks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^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^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Symbols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Theoretical Training and Practice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~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Conference Week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Examination Period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Practical Training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On-the Job Training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X*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Pre-graduation Practical Training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Final State Certification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Vacation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^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Non-working holidays (not including Sundays)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Correspondence of Weeks to Dates by Years of Study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Academic Year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Month with a Week Number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september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october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november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december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january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february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march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april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may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june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july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august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Beginning of a Week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End of a Week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Beginning of a Week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End of a Week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NOTES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Academic Year Start Date marked as "*"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Academic  Weeks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In case of necessity, in agreement with the Vice-Rector for Academic Affairs, the Standart Academic Calendar can be changed without violating the requirements of regulations for the formation of Academic Calendar for a Specific Academic Year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Head of Division for Learning and Teaching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A.M.Kuzmin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Director of School of Advanced Manufacturing Technologies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R.V.Ostvald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Head of Department/Research and Education Center of Kizhner Research Center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E.A.Krasnokutskaya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