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APPROVED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THE MINISTRY OF EDUCATION AND SCIENCE OF THE RUSSIAN FEDERATION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Vice Rector for Academic Affairs of Not available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Federal state autonomous educational institution of higher education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M.A.Solovyov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National Research Tomsk Polytechnic University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"______"__________20_____г.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GRAPH OF EDUCATIONAL PROCESS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Admittance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year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Major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Chemical Technology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Educational Programme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Technology Engineering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Specialization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керамики и композитов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Groups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4GM53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Qualification (degree)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Master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Mode of study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Intramural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Duration of study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year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Department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School of Advanced Manufacturing Technologies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Kizhner Research Center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BASIC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GRAPH OF EDUCATIONAL PROCESS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Years/Weeks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^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^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Symbols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Theoretical Training and Practice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~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Conference Week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Examination Period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Practical Training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On-the Job Training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X*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Pre-graduation Practical Training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Final State Certification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Vacation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^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Non-working holidays (not including Sundays)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Correspondence of Weeks to Dates by Years of Study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Academic Year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Month with a Week Number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september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october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november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december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january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february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march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april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may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june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july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august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Beginning of a Week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End of a Week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Beginning of a Week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End of a Week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NOTES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Academic Year Start Date marked as "*"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Academic  Weeks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In case of necessity, in agreement with the Vice-Rector for Academic Affairs, the Standart Academic Calendar can be changed without violating the requirements of regulations for the formation of Academic Calendar for a Specific Academic Year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Head of Division for Learning and Teaching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A.M.Kuzmin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Director of School of Advanced Manufacturing Technologies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R.V.Ostvald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Head of Department/Research and Education Center of Kizhner Research Center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E.A.Krasnokutskaya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